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36" w:rsidRPr="00153136" w:rsidRDefault="00153136" w:rsidP="00153136">
      <w:pPr>
        <w:rPr>
          <w:rFonts w:ascii="Arial" w:hAnsi="Arial" w:cs="Arial"/>
        </w:rPr>
      </w:pPr>
    </w:p>
    <w:p w:rsidR="00153136" w:rsidRDefault="00153136" w:rsidP="00153136">
      <w:pPr>
        <w:rPr>
          <w:rFonts w:ascii="Arial" w:hAnsi="Arial" w:cs="Arial"/>
        </w:rPr>
      </w:pPr>
    </w:p>
    <w:p w:rsidR="002D24E5" w:rsidRDefault="002D24E5" w:rsidP="002D24E5">
      <w:pPr>
        <w:pStyle w:val="En-tte"/>
        <w:jc w:val="center"/>
        <w:rPr>
          <w:sz w:val="44"/>
          <w:szCs w:val="44"/>
        </w:rPr>
      </w:pPr>
      <w:r>
        <w:rPr>
          <w:sz w:val="44"/>
          <w:szCs w:val="44"/>
        </w:rPr>
        <w:t>C.C.T.P.   DESCRIPTIF  TYPE</w:t>
      </w:r>
    </w:p>
    <w:p w:rsidR="002D24E5" w:rsidRDefault="002D24E5" w:rsidP="002D24E5">
      <w:pPr>
        <w:rPr>
          <w:rFonts w:ascii="Verdana" w:hAnsi="Verdana"/>
          <w:sz w:val="20"/>
        </w:rPr>
      </w:pPr>
    </w:p>
    <w:p w:rsidR="002D24E5" w:rsidRDefault="002D24E5" w:rsidP="002D24E5">
      <w:pPr>
        <w:rPr>
          <w:rFonts w:ascii="Verdana" w:hAnsi="Verdana"/>
          <w:b/>
          <w:sz w:val="20"/>
        </w:rPr>
      </w:pPr>
    </w:p>
    <w:p w:rsidR="002D24E5" w:rsidRDefault="002D24E5" w:rsidP="0083226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GUIDE DE RÉDACTION POUR PIÈCES ÉCRITES CONCERNANT LES OUVRAGES RÉALISÉS EN BRIQUES APPARENTES </w:t>
      </w:r>
      <w:r w:rsidRPr="00DF2BC2">
        <w:rPr>
          <w:rFonts w:ascii="Verdana" w:hAnsi="Verdana"/>
          <w:b/>
          <w:color w:val="9BBB59"/>
          <w:sz w:val="28"/>
          <w:szCs w:val="28"/>
        </w:rPr>
        <w:t>« BlocStar »</w:t>
      </w:r>
      <w:r>
        <w:rPr>
          <w:rFonts w:ascii="Verdana" w:hAnsi="Verdana"/>
          <w:b/>
          <w:sz w:val="26"/>
          <w:szCs w:val="26"/>
        </w:rPr>
        <w:t xml:space="preserve"> </w:t>
      </w:r>
      <w:bookmarkStart w:id="0" w:name="_GoBack"/>
      <w:r w:rsidR="00DF4A65">
        <w:rPr>
          <w:rFonts w:ascii="Verdana" w:hAnsi="Verdana"/>
          <w:b/>
        </w:rPr>
        <w:t>Am</w:t>
      </w:r>
      <w:r w:rsidR="00D34704">
        <w:rPr>
          <w:rFonts w:ascii="Verdana" w:hAnsi="Verdana"/>
          <w:b/>
        </w:rPr>
        <w:t>R</w:t>
      </w:r>
      <w:r w:rsidR="00DF4A65">
        <w:rPr>
          <w:rFonts w:ascii="Verdana" w:hAnsi="Verdana"/>
          <w:b/>
        </w:rPr>
        <w:t>18</w:t>
      </w:r>
      <w:r>
        <w:rPr>
          <w:rFonts w:ascii="Verdana" w:hAnsi="Verdana"/>
          <w:b/>
        </w:rPr>
        <w:t>0</w:t>
      </w:r>
      <w:bookmarkEnd w:id="0"/>
    </w:p>
    <w:p w:rsidR="00153136" w:rsidRDefault="00153136" w:rsidP="00832261">
      <w:pPr>
        <w:rPr>
          <w:rFonts w:ascii="Verdana" w:hAnsi="Verdana"/>
          <w:sz w:val="20"/>
        </w:rPr>
      </w:pPr>
    </w:p>
    <w:p w:rsidR="00153136" w:rsidRDefault="00153136" w:rsidP="00832261">
      <w:pPr>
        <w:rPr>
          <w:rFonts w:ascii="Verdana" w:hAnsi="Verdana"/>
          <w:b/>
          <w:sz w:val="20"/>
        </w:rPr>
      </w:pPr>
    </w:p>
    <w:p w:rsidR="002D24E5" w:rsidRDefault="002D24E5" w:rsidP="00832261">
      <w:pPr>
        <w:rPr>
          <w:rFonts w:ascii="Verdana" w:hAnsi="Verdana"/>
          <w:b/>
          <w:sz w:val="20"/>
        </w:rPr>
        <w:sectPr w:rsidR="002D24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1106" w:bottom="1079" w:left="1260" w:header="708" w:footer="708" w:gutter="0"/>
          <w:cols w:space="720"/>
        </w:sectPr>
      </w:pPr>
    </w:p>
    <w:p w:rsidR="00FE3EE6" w:rsidRDefault="00FE3EE6" w:rsidP="00832261">
      <w:pPr>
        <w:rPr>
          <w:rFonts w:ascii="Arial" w:hAnsi="Arial" w:cs="Arial"/>
          <w:b/>
          <w:sz w:val="20"/>
        </w:rPr>
      </w:pPr>
    </w:p>
    <w:p w:rsidR="00FE3EE6" w:rsidRDefault="00FE3EE6" w:rsidP="00832261">
      <w:pPr>
        <w:rPr>
          <w:rFonts w:ascii="Arial" w:hAnsi="Arial" w:cs="Arial"/>
          <w:b/>
          <w:sz w:val="20"/>
        </w:rPr>
      </w:pPr>
    </w:p>
    <w:p w:rsidR="005B71F1" w:rsidRDefault="005B71F1" w:rsidP="00832261">
      <w:pPr>
        <w:rPr>
          <w:rFonts w:ascii="Arial" w:hAnsi="Arial" w:cs="Arial"/>
          <w:b/>
          <w:sz w:val="20"/>
        </w:rPr>
      </w:pP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COMPOSITION :</w:t>
      </w:r>
      <w:r>
        <w:rPr>
          <w:rFonts w:ascii="Arial" w:hAnsi="Arial" w:cs="Arial"/>
          <w:sz w:val="20"/>
        </w:rPr>
        <w:t xml:space="preserve"> </w:t>
      </w: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Briques de béton dont la formulation correspondra à </w:t>
      </w:r>
    </w:p>
    <w:p w:rsidR="00153136" w:rsidRDefault="00153136" w:rsidP="00832261">
      <w:pPr>
        <w:rPr>
          <w:rFonts w:ascii="Arial" w:hAnsi="Arial" w:cs="Arial"/>
          <w:sz w:val="8"/>
          <w:szCs w:val="8"/>
        </w:rPr>
      </w:pPr>
    </w:p>
    <w:p w:rsidR="00153136" w:rsidRDefault="00153136" w:rsidP="0083226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Granulats de graviers et de sable provenant de carrières, concas</w:t>
      </w:r>
      <w:r>
        <w:rPr>
          <w:rFonts w:ascii="Arial" w:hAnsi="Arial" w:cs="Arial"/>
          <w:color w:val="auto"/>
          <w:sz w:val="20"/>
        </w:rPr>
        <w:softHyphen/>
        <w:t>sés et lavés, conformes à la norme NF P 18</w:t>
      </w:r>
      <w:r>
        <w:rPr>
          <w:rFonts w:ascii="Arial" w:hAnsi="Arial" w:cs="Arial"/>
          <w:color w:val="auto"/>
          <w:sz w:val="20"/>
        </w:rPr>
        <w:softHyphen/>
        <w:t>101 (déc. 85) « Bé</w:t>
      </w:r>
      <w:r>
        <w:rPr>
          <w:rFonts w:ascii="Arial" w:hAnsi="Arial" w:cs="Arial"/>
          <w:color w:val="auto"/>
          <w:sz w:val="20"/>
        </w:rPr>
        <w:softHyphen/>
        <w:t>ton, classification et désignation des bétons hydrauliques » et NF P 18</w:t>
      </w:r>
      <w:r>
        <w:rPr>
          <w:rFonts w:ascii="Arial" w:hAnsi="Arial" w:cs="Arial"/>
          <w:color w:val="auto"/>
          <w:sz w:val="20"/>
        </w:rPr>
        <w:softHyphen/>
        <w:t>541 (déc.83) « Granulats naturels pour bétons hydrauli</w:t>
      </w:r>
      <w:r>
        <w:rPr>
          <w:rFonts w:ascii="Arial" w:hAnsi="Arial" w:cs="Arial"/>
          <w:color w:val="auto"/>
          <w:sz w:val="20"/>
        </w:rPr>
        <w:softHyphen/>
        <w:t>ques ».</w:t>
      </w:r>
    </w:p>
    <w:p w:rsidR="00153136" w:rsidRDefault="00153136" w:rsidP="00832261">
      <w:pPr>
        <w:rPr>
          <w:rFonts w:ascii="Arial" w:hAnsi="Arial" w:cs="Arial"/>
          <w:sz w:val="8"/>
          <w:szCs w:val="8"/>
        </w:rPr>
      </w:pPr>
    </w:p>
    <w:p w:rsidR="00153136" w:rsidRDefault="00153136" w:rsidP="0083226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Adjuvants : Éventuellement un adjuvant hydrofuge de masse conforme à la norme NF P 18</w:t>
      </w:r>
      <w:r>
        <w:rPr>
          <w:rFonts w:ascii="Arial" w:hAnsi="Arial" w:cs="Arial"/>
          <w:color w:val="auto"/>
          <w:sz w:val="20"/>
        </w:rPr>
        <w:softHyphen/>
        <w:t>334.</w:t>
      </w:r>
    </w:p>
    <w:p w:rsidR="00153136" w:rsidRDefault="00153136" w:rsidP="00832261">
      <w:pPr>
        <w:pStyle w:val="Paragraphedeliste"/>
        <w:rPr>
          <w:rFonts w:ascii="Arial" w:hAnsi="Arial" w:cs="Arial"/>
          <w:sz w:val="8"/>
          <w:szCs w:val="8"/>
        </w:rPr>
      </w:pPr>
    </w:p>
    <w:p w:rsidR="00153136" w:rsidRDefault="00153136" w:rsidP="00832261">
      <w:pPr>
        <w:pStyle w:val="Defaul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- Éventuellement un adjuvant destiné </w:t>
      </w:r>
      <w:r w:rsidR="0095635E">
        <w:rPr>
          <w:rFonts w:ascii="Arial" w:hAnsi="Arial" w:cs="Arial"/>
          <w:color w:val="auto"/>
          <w:sz w:val="20"/>
        </w:rPr>
        <w:t>à</w:t>
      </w:r>
      <w:r>
        <w:rPr>
          <w:rFonts w:ascii="Arial" w:hAnsi="Arial" w:cs="Arial"/>
          <w:color w:val="auto"/>
          <w:sz w:val="20"/>
        </w:rPr>
        <w:t xml:space="preserve"> améliorer la mise en place et la compacité des bétons à faible rapport Eau/Ciment.</w:t>
      </w:r>
    </w:p>
    <w:p w:rsidR="00153136" w:rsidRPr="00832261" w:rsidRDefault="00153136" w:rsidP="0083226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90443" w:rsidRPr="00832261" w:rsidRDefault="00A90443" w:rsidP="00832261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DIMENSIONS :</w:t>
      </w:r>
      <w:r>
        <w:rPr>
          <w:rFonts w:ascii="Arial" w:hAnsi="Arial" w:cs="Arial"/>
          <w:sz w:val="20"/>
        </w:rPr>
        <w:t xml:space="preserve"> </w:t>
      </w:r>
    </w:p>
    <w:p w:rsidR="00153136" w:rsidRPr="00FF12DC" w:rsidRDefault="00153136" w:rsidP="008322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</w:t>
      </w:r>
      <w:r w:rsidR="00B607AC">
        <w:rPr>
          <w:rFonts w:ascii="Arial" w:hAnsi="Arial" w:cs="Arial"/>
          <w:b/>
          <w:sz w:val="20"/>
        </w:rPr>
        <w:t>es briques de béton BlocStar Am</w:t>
      </w:r>
      <w:r w:rsidR="00D34704">
        <w:rPr>
          <w:rFonts w:ascii="Arial" w:hAnsi="Arial" w:cs="Arial"/>
          <w:b/>
          <w:sz w:val="20"/>
        </w:rPr>
        <w:t>R</w:t>
      </w:r>
      <w:r w:rsidR="00B607AC">
        <w:rPr>
          <w:rFonts w:ascii="Arial" w:hAnsi="Arial" w:cs="Arial"/>
          <w:b/>
          <w:sz w:val="20"/>
        </w:rPr>
        <w:t>18</w:t>
      </w:r>
      <w:r>
        <w:rPr>
          <w:rFonts w:ascii="Arial" w:hAnsi="Arial" w:cs="Arial"/>
          <w:b/>
          <w:sz w:val="20"/>
        </w:rPr>
        <w:t xml:space="preserve">0 </w:t>
      </w:r>
      <w:r>
        <w:rPr>
          <w:rFonts w:ascii="Arial" w:hAnsi="Arial" w:cs="Arial"/>
          <w:sz w:val="20"/>
        </w:rPr>
        <w:t>mises en œuvre, présenteront les caractéristiques dimensionnelles suivantes :</w:t>
      </w:r>
      <w:r w:rsidR="00FF12D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parement </w:t>
      </w:r>
      <w:r w:rsidR="00B607AC">
        <w:rPr>
          <w:rFonts w:ascii="Arial" w:hAnsi="Arial" w:cs="Arial"/>
          <w:sz w:val="20"/>
        </w:rPr>
        <w:t>5</w:t>
      </w:r>
      <w:r w:rsidR="00D34704">
        <w:rPr>
          <w:rFonts w:ascii="Arial" w:hAnsi="Arial" w:cs="Arial"/>
          <w:sz w:val="20"/>
        </w:rPr>
        <w:t>5</w:t>
      </w:r>
      <w:r w:rsidR="00B607AC">
        <w:rPr>
          <w:rFonts w:ascii="Arial" w:hAnsi="Arial" w:cs="Arial"/>
          <w:sz w:val="20"/>
        </w:rPr>
        <w:t>0</w:t>
      </w:r>
      <w:r w:rsidR="00A90443">
        <w:rPr>
          <w:rFonts w:ascii="Arial" w:hAnsi="Arial" w:cs="Arial"/>
          <w:sz w:val="20"/>
        </w:rPr>
        <w:t xml:space="preserve"> mm</w:t>
      </w:r>
      <w:r w:rsidR="00B607AC">
        <w:rPr>
          <w:rFonts w:ascii="Arial" w:hAnsi="Arial" w:cs="Arial"/>
          <w:sz w:val="20"/>
        </w:rPr>
        <w:t xml:space="preserve"> </w:t>
      </w:r>
      <w:r w:rsidR="00A90443">
        <w:rPr>
          <w:rFonts w:ascii="Arial" w:hAnsi="Arial" w:cs="Arial"/>
          <w:sz w:val="20"/>
        </w:rPr>
        <w:t xml:space="preserve">de </w:t>
      </w:r>
      <w:r w:rsidR="00B607AC">
        <w:rPr>
          <w:rFonts w:ascii="Arial" w:hAnsi="Arial" w:cs="Arial"/>
          <w:sz w:val="20"/>
        </w:rPr>
        <w:t>long x 5</w:t>
      </w:r>
      <w:r w:rsidR="00D34704">
        <w:rPr>
          <w:rFonts w:ascii="Arial" w:hAnsi="Arial" w:cs="Arial"/>
          <w:sz w:val="20"/>
        </w:rPr>
        <w:t>5</w:t>
      </w:r>
      <w:r w:rsidR="00B607AC">
        <w:rPr>
          <w:rFonts w:ascii="Arial" w:hAnsi="Arial" w:cs="Arial"/>
          <w:sz w:val="20"/>
        </w:rPr>
        <w:t xml:space="preserve"> </w:t>
      </w:r>
      <w:r w:rsidR="00A90443">
        <w:rPr>
          <w:rFonts w:ascii="Arial" w:hAnsi="Arial" w:cs="Arial"/>
          <w:sz w:val="20"/>
        </w:rPr>
        <w:t xml:space="preserve">mm de haut x </w:t>
      </w:r>
      <w:r w:rsidR="00B607AC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0 </w:t>
      </w:r>
      <w:r w:rsidR="00A90443">
        <w:rPr>
          <w:rFonts w:ascii="Arial" w:hAnsi="Arial" w:cs="Arial"/>
          <w:sz w:val="20"/>
        </w:rPr>
        <w:t>mm</w:t>
      </w:r>
      <w:r w:rsidR="00A90443" w:rsidRPr="00A90443">
        <w:rPr>
          <w:rFonts w:ascii="Arial" w:hAnsi="Arial" w:cs="Arial"/>
          <w:sz w:val="20"/>
        </w:rPr>
        <w:t xml:space="preserve"> </w:t>
      </w:r>
      <w:r w:rsidR="00A90443">
        <w:rPr>
          <w:rFonts w:ascii="Arial" w:hAnsi="Arial" w:cs="Arial"/>
          <w:sz w:val="20"/>
        </w:rPr>
        <w:t>d’épaisseur</w:t>
      </w:r>
    </w:p>
    <w:p w:rsidR="00153136" w:rsidRPr="00A90443" w:rsidRDefault="00153136" w:rsidP="00832261">
      <w:pPr>
        <w:rPr>
          <w:rFonts w:ascii="Arial" w:hAnsi="Arial" w:cs="Arial"/>
          <w:sz w:val="12"/>
          <w:szCs w:val="12"/>
        </w:rPr>
      </w:pP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respect des côtes bloquées se fera à l’identique des jonctions entre briques d’origine, à savoir par découpes avec un disque adapté monté sur une scie sur établi.</w:t>
      </w:r>
    </w:p>
    <w:p w:rsidR="00153136" w:rsidRPr="00832261" w:rsidRDefault="00153136" w:rsidP="00832261">
      <w:pPr>
        <w:rPr>
          <w:rFonts w:ascii="Arial" w:hAnsi="Arial" w:cs="Arial"/>
          <w:b/>
          <w:sz w:val="16"/>
          <w:szCs w:val="16"/>
        </w:rPr>
      </w:pPr>
    </w:p>
    <w:p w:rsidR="00A90443" w:rsidRPr="00832261" w:rsidRDefault="00A90443" w:rsidP="00832261">
      <w:pPr>
        <w:rPr>
          <w:rFonts w:ascii="Arial" w:hAnsi="Arial" w:cs="Arial"/>
          <w:b/>
          <w:sz w:val="16"/>
          <w:szCs w:val="16"/>
        </w:rPr>
      </w:pP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POSE :</w:t>
      </w:r>
      <w:r>
        <w:rPr>
          <w:rFonts w:ascii="Arial" w:hAnsi="Arial" w:cs="Arial"/>
          <w:sz w:val="20"/>
        </w:rPr>
        <w:t xml:space="preserve"> </w:t>
      </w:r>
    </w:p>
    <w:p w:rsidR="00B607AC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Dans le cadre de l</w:t>
      </w:r>
      <w:r w:rsidR="00B607AC">
        <w:rPr>
          <w:rFonts w:ascii="Arial" w:hAnsi="Arial" w:cs="Arial"/>
          <w:sz w:val="20"/>
        </w:rPr>
        <w:t>a b</w:t>
      </w:r>
      <w:r w:rsidR="0095635E">
        <w:rPr>
          <w:rFonts w:ascii="Arial" w:hAnsi="Arial" w:cs="Arial"/>
          <w:sz w:val="20"/>
        </w:rPr>
        <w:t>r</w:t>
      </w:r>
      <w:r w:rsidR="00B607AC">
        <w:rPr>
          <w:rFonts w:ascii="Arial" w:hAnsi="Arial" w:cs="Arial"/>
          <w:sz w:val="20"/>
        </w:rPr>
        <w:t>ique BlocStar Am</w:t>
      </w:r>
      <w:r w:rsidR="00D34704">
        <w:rPr>
          <w:rFonts w:ascii="Arial" w:hAnsi="Arial" w:cs="Arial"/>
          <w:sz w:val="20"/>
        </w:rPr>
        <w:t>R</w:t>
      </w:r>
      <w:r w:rsidR="00B607AC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>0, le joint horizontal sera hourdé au mor</w:t>
      </w:r>
      <w:r w:rsidR="00B607AC">
        <w:rPr>
          <w:rFonts w:ascii="Arial" w:hAnsi="Arial" w:cs="Arial"/>
          <w:sz w:val="20"/>
        </w:rPr>
        <w:t>tier garanti sans efflorescence.</w:t>
      </w: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joint horizontal sera ef</w:t>
      </w:r>
      <w:r w:rsidR="00CF2E7A">
        <w:rPr>
          <w:rFonts w:ascii="Arial" w:hAnsi="Arial" w:cs="Arial"/>
          <w:sz w:val="20"/>
        </w:rPr>
        <w:t>fectué à joint mince ou à joint</w:t>
      </w:r>
      <w:r>
        <w:rPr>
          <w:rFonts w:ascii="Arial" w:hAnsi="Arial" w:cs="Arial"/>
          <w:sz w:val="20"/>
        </w:rPr>
        <w:t xml:space="preserve"> épais selon le choix de la maîtrise d’œuvre et selon les spécifications de la norme NF EN998-2, à savoir l’utilisation d’un mortier de catégorie M10 en cas de mise en œuvre à joint épais et l’utilisation d’un mortier de catégorie M15 en cas de mise en œuvre à joint mince.</w:t>
      </w:r>
    </w:p>
    <w:p w:rsidR="00153136" w:rsidRPr="00A90443" w:rsidRDefault="00153136" w:rsidP="00832261">
      <w:pPr>
        <w:rPr>
          <w:rFonts w:ascii="Arial" w:hAnsi="Arial" w:cs="Arial"/>
          <w:sz w:val="12"/>
          <w:szCs w:val="12"/>
        </w:rPr>
      </w:pP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joint vertical sera exprimé en jonction jointive bord à bord, sans apparence de mortier ni joint vif au niveau du parement.</w:t>
      </w:r>
    </w:p>
    <w:p w:rsidR="00153136" w:rsidRPr="00A90443" w:rsidRDefault="00153136" w:rsidP="00832261">
      <w:pPr>
        <w:rPr>
          <w:rFonts w:ascii="Arial" w:hAnsi="Arial" w:cs="Arial"/>
          <w:sz w:val="12"/>
          <w:szCs w:val="12"/>
        </w:rPr>
      </w:pP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respect des côtes bloquées se fera à l’identique des jonctions entre briques d’origine, à savoir par découpes avec un disque adapté monté sur une scie sur établi, puis par assemblage du joint vertical bord à bord, sans apparence de mortier ni joint vif au niveau du parement. Le joint horizontal sera effectué comme en parties courantes décrites ci-dessus.</w:t>
      </w: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Default="00153136" w:rsidP="00832261">
      <w:pPr>
        <w:rPr>
          <w:rFonts w:ascii="Arial" w:hAnsi="Arial" w:cs="Arial"/>
          <w:caps/>
          <w:sz w:val="20"/>
        </w:rPr>
      </w:pPr>
      <w:r>
        <w:rPr>
          <w:rFonts w:ascii="Arial" w:hAnsi="Arial" w:cs="Arial"/>
          <w:b/>
          <w:caps/>
          <w:sz w:val="20"/>
        </w:rPr>
        <w:t>Pour les autres dispositions :</w:t>
      </w:r>
      <w:r>
        <w:rPr>
          <w:rFonts w:ascii="Arial" w:hAnsi="Arial" w:cs="Arial"/>
          <w:caps/>
          <w:sz w:val="20"/>
        </w:rPr>
        <w:t xml:space="preserve"> </w:t>
      </w: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>l</w:t>
      </w:r>
      <w:r>
        <w:rPr>
          <w:rFonts w:ascii="Arial" w:hAnsi="Arial" w:cs="Arial"/>
          <w:sz w:val="20"/>
        </w:rPr>
        <w:t xml:space="preserve">e montage sera effectué en fonction des dispositions constructives retenues selon les règles édictées par le DTU 20.1 </w:t>
      </w:r>
      <w:r w:rsidR="0095635E">
        <w:rPr>
          <w:rFonts w:ascii="Arial" w:hAnsi="Arial" w:cs="Arial"/>
          <w:sz w:val="20"/>
        </w:rPr>
        <w:t xml:space="preserve">maçonneries de petits éléments </w:t>
      </w:r>
      <w:r>
        <w:rPr>
          <w:rFonts w:ascii="Arial" w:hAnsi="Arial" w:cs="Arial"/>
          <w:sz w:val="20"/>
        </w:rPr>
        <w:t>afin d’en assurer la stabilité mécanique, l’étanchéité aux intempéries, l’isolation thermique et acoustique ainsi que l’aspect.</w:t>
      </w: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Default="00153136" w:rsidP="0083226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caps/>
          <w:sz w:val="20"/>
        </w:rPr>
        <w:t>ÉTANCHÉITÉ :</w:t>
      </w:r>
      <w:r>
        <w:rPr>
          <w:rFonts w:ascii="Arial" w:hAnsi="Arial" w:cs="Arial"/>
          <w:sz w:val="20"/>
        </w:rPr>
        <w:t xml:space="preserve"> </w:t>
      </w:r>
    </w:p>
    <w:p w:rsidR="00153136" w:rsidRDefault="00153136" w:rsidP="0083226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dispositions en pied de mur et le principe de recueil et d’évacuation des eaux seront conformes à la norme NF DTU 20.1</w:t>
      </w:r>
    </w:p>
    <w:p w:rsidR="00153136" w:rsidRPr="00B607AC" w:rsidRDefault="00153136" w:rsidP="0083226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153136" w:rsidRDefault="00153136" w:rsidP="0083226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traitements des points d’étanchéité aux interfaces entre éléments porteurs et </w:t>
      </w:r>
      <w:proofErr w:type="spellStart"/>
      <w:r>
        <w:rPr>
          <w:rFonts w:ascii="Arial" w:hAnsi="Arial" w:cs="Arial"/>
          <w:sz w:val="20"/>
        </w:rPr>
        <w:t>précadres</w:t>
      </w:r>
      <w:proofErr w:type="spellEnd"/>
      <w:r>
        <w:rPr>
          <w:rFonts w:ascii="Arial" w:hAnsi="Arial" w:cs="Arial"/>
          <w:sz w:val="20"/>
        </w:rPr>
        <w:t xml:space="preserve"> des huisseries extérieures seront traités selon les dispositions requises.</w:t>
      </w:r>
    </w:p>
    <w:p w:rsidR="00153136" w:rsidRPr="00832261" w:rsidRDefault="00153136" w:rsidP="00832261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sz w:val="16"/>
          <w:szCs w:val="16"/>
        </w:rPr>
      </w:pPr>
    </w:p>
    <w:p w:rsidR="00153136" w:rsidRPr="00832261" w:rsidRDefault="00153136" w:rsidP="00832261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sz w:val="16"/>
          <w:szCs w:val="16"/>
        </w:rPr>
      </w:pPr>
    </w:p>
    <w:p w:rsidR="00832261" w:rsidRPr="00E623A1" w:rsidRDefault="00832261" w:rsidP="00832261">
      <w:pPr>
        <w:jc w:val="both"/>
        <w:rPr>
          <w:rFonts w:ascii="Arial" w:hAnsi="Arial" w:cs="Arial"/>
          <w:bCs/>
          <w:u w:val="single"/>
        </w:rPr>
      </w:pPr>
      <w:r w:rsidRPr="003E4133">
        <w:rPr>
          <w:rFonts w:ascii="Arial" w:hAnsi="Arial" w:cs="Arial"/>
          <w:bCs/>
          <w:u w:val="single"/>
        </w:rPr>
        <w:t>Agrément préalable</w:t>
      </w:r>
      <w:r>
        <w:rPr>
          <w:rFonts w:ascii="Arial" w:hAnsi="Arial" w:cs="Arial"/>
          <w:bCs/>
          <w:u w:val="single"/>
        </w:rPr>
        <w:t xml:space="preserve"> </w:t>
      </w:r>
      <w:r w:rsidRPr="00E623A1">
        <w:rPr>
          <w:rFonts w:ascii="Arial" w:hAnsi="Arial" w:cs="Arial"/>
          <w:bCs/>
          <w:u w:val="single"/>
        </w:rPr>
        <w:t>&amp; sécurisation dans l’approvisionnement des périphériques directs</w:t>
      </w:r>
    </w:p>
    <w:p w:rsidR="00832261" w:rsidRPr="005D6C5B" w:rsidRDefault="00832261" w:rsidP="00832261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832261" w:rsidRDefault="0083226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3E4133">
        <w:rPr>
          <w:rFonts w:ascii="Arial" w:hAnsi="Arial" w:cs="Arial"/>
          <w:sz w:val="20"/>
          <w:szCs w:val="20"/>
        </w:rPr>
        <w:t xml:space="preserve">Les entreprises ou poseurs effectuant la mise en œuvre des maçonneries en Briques </w:t>
      </w:r>
      <w:bookmarkStart w:id="1" w:name="OLE_LINK1"/>
      <w:bookmarkStart w:id="2" w:name="OLE_LINK2"/>
      <w:r w:rsidRPr="003E4133">
        <w:rPr>
          <w:rFonts w:ascii="Arial" w:hAnsi="Arial" w:cs="Arial"/>
          <w:sz w:val="20"/>
          <w:szCs w:val="20"/>
        </w:rPr>
        <w:t xml:space="preserve">BlocStar </w:t>
      </w:r>
      <w:r>
        <w:rPr>
          <w:rFonts w:ascii="Arial" w:hAnsi="Arial" w:cs="Arial"/>
          <w:sz w:val="20"/>
          <w:szCs w:val="20"/>
        </w:rPr>
        <w:t>Am</w:t>
      </w:r>
      <w:r w:rsidR="00D347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180</w:t>
      </w:r>
      <w:r w:rsidRPr="003E4133">
        <w:rPr>
          <w:rFonts w:ascii="Arial" w:hAnsi="Arial" w:cs="Arial"/>
          <w:sz w:val="20"/>
          <w:szCs w:val="20"/>
        </w:rPr>
        <w:t xml:space="preserve"> </w:t>
      </w:r>
      <w:bookmarkEnd w:id="1"/>
      <w:bookmarkEnd w:id="2"/>
      <w:r w:rsidRPr="003E4133">
        <w:rPr>
          <w:rFonts w:ascii="Arial" w:hAnsi="Arial" w:cs="Arial"/>
          <w:sz w:val="20"/>
          <w:szCs w:val="20"/>
        </w:rPr>
        <w:t>doivent préalablement avoir reçu l’agrément de mise en œuvre de la part du fabricant. Dans le cas d’un non-agrément, les entreprises ne seront pas autorisées à mettre en œuvre ce produit. La liste des entreprises de mise-en-œuvre agréés est inscrite sur le site internet du fabricant ou mise à la disposition par ce dernier pour toute demande.</w:t>
      </w:r>
    </w:p>
    <w:p w:rsidR="00832261" w:rsidRPr="00E623A1" w:rsidRDefault="00832261" w:rsidP="00832261">
      <w:pPr>
        <w:pStyle w:val="titre1P"/>
        <w:spacing w:line="240" w:lineRule="auto"/>
        <w:jc w:val="left"/>
        <w:rPr>
          <w:rFonts w:ascii="Arial" w:hAnsi="Arial" w:cs="Arial"/>
          <w:sz w:val="12"/>
          <w:szCs w:val="12"/>
        </w:rPr>
      </w:pPr>
    </w:p>
    <w:p w:rsidR="005B71F1" w:rsidRDefault="005B71F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5B71F1" w:rsidRDefault="005B71F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5B71F1" w:rsidRDefault="005B71F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5B71F1" w:rsidRDefault="005B71F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5B71F1" w:rsidRDefault="005B71F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5B71F1" w:rsidRDefault="005B71F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832261" w:rsidRPr="00E623A1" w:rsidRDefault="0083226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623A1">
        <w:rPr>
          <w:rFonts w:ascii="Arial" w:hAnsi="Arial" w:cs="Arial"/>
          <w:sz w:val="20"/>
          <w:szCs w:val="20"/>
        </w:rPr>
        <w:t xml:space="preserve">Le fabricant vendra conjointement à l’entreprise de pose, la fourniture des Briques BlocStar ainsi que le mortier selon les volumes requis </w:t>
      </w:r>
      <w:r w:rsidR="00CF2E7A">
        <w:rPr>
          <w:rFonts w:ascii="Arial" w:hAnsi="Arial" w:cs="Arial"/>
          <w:sz w:val="20"/>
          <w:szCs w:val="20"/>
        </w:rPr>
        <w:t xml:space="preserve">en </w:t>
      </w:r>
      <w:r w:rsidRPr="00E623A1">
        <w:rPr>
          <w:rFonts w:ascii="Arial" w:hAnsi="Arial" w:cs="Arial"/>
          <w:sz w:val="20"/>
          <w:szCs w:val="20"/>
        </w:rPr>
        <w:t xml:space="preserve">fonction des quantités de Briques livrées. </w:t>
      </w:r>
    </w:p>
    <w:p w:rsidR="00832261" w:rsidRPr="00E623A1" w:rsidRDefault="00832261" w:rsidP="00832261">
      <w:pPr>
        <w:pStyle w:val="titre1P"/>
        <w:spacing w:line="240" w:lineRule="auto"/>
        <w:jc w:val="left"/>
        <w:rPr>
          <w:rFonts w:ascii="Arial" w:hAnsi="Arial" w:cs="Arial"/>
          <w:sz w:val="12"/>
          <w:szCs w:val="12"/>
        </w:rPr>
      </w:pPr>
    </w:p>
    <w:p w:rsidR="00832261" w:rsidRPr="00E623A1" w:rsidRDefault="00832261" w:rsidP="00832261">
      <w:pPr>
        <w:pStyle w:val="titre1P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623A1">
        <w:rPr>
          <w:rFonts w:ascii="Arial" w:hAnsi="Arial" w:cs="Arial"/>
          <w:sz w:val="20"/>
          <w:szCs w:val="20"/>
        </w:rPr>
        <w:t xml:space="preserve">Le fabricant vendra conjointement à l’entreprise de pose, la fourniture des éléments de supportage selon les spécificités requises par l’étude préalable du fournisseur des éléments de supportage. </w:t>
      </w: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Default="00153136" w:rsidP="0083226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ESPACEMENT ENTRE LE SUPPORT ET LE MUR BRIQUE </w:t>
      </w:r>
    </w:p>
    <w:p w:rsidR="00153136" w:rsidRDefault="00153136" w:rsidP="008322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vide sera dimensionné conformément aux indications ci-dessus et en fonction de l’épaisseur d’isolant.</w:t>
      </w: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Pr="00832261" w:rsidRDefault="00153136" w:rsidP="00832261">
      <w:pPr>
        <w:rPr>
          <w:rFonts w:ascii="Arial" w:hAnsi="Arial" w:cs="Arial"/>
          <w:sz w:val="16"/>
          <w:szCs w:val="16"/>
        </w:rPr>
      </w:pPr>
    </w:p>
    <w:p w:rsidR="00153136" w:rsidRDefault="00153136" w:rsidP="00832261">
      <w:pPr>
        <w:pStyle w:val="titre1P"/>
        <w:spacing w:line="240" w:lineRule="auto"/>
        <w:ind w:left="142" w:hanging="142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bidi="he-IL"/>
        </w:rPr>
        <w:t>TEINTES ET ASPECTS DE SURFACES</w:t>
      </w:r>
    </w:p>
    <w:p w:rsidR="00153136" w:rsidRDefault="00153136" w:rsidP="00832261">
      <w:pPr>
        <w:pStyle w:val="titre1P"/>
        <w:spacing w:line="240" w:lineRule="auto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Les teintes et aspects de surfaces des blocs se</w:t>
      </w:r>
      <w:r w:rsidR="00B607AC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 xml:space="preserve">ront aux choix de l’architecte au sein de </w:t>
      </w:r>
      <w:r w:rsidR="00A90443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la gamme produit du fournisseur</w:t>
      </w:r>
      <w:r w:rsidR="00CF2E7A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.</w:t>
      </w:r>
    </w:p>
    <w:p w:rsidR="00153136" w:rsidRPr="00832261" w:rsidRDefault="00153136" w:rsidP="00832261">
      <w:pPr>
        <w:pStyle w:val="titre1P"/>
        <w:spacing w:line="240" w:lineRule="auto"/>
        <w:jc w:val="left"/>
        <w:rPr>
          <w:rFonts w:ascii="Arial" w:hAnsi="Arial" w:cs="Arial"/>
          <w:color w:val="000000"/>
          <w:sz w:val="12"/>
          <w:szCs w:val="12"/>
          <w:shd w:val="clear" w:color="auto" w:fill="FFFFFF"/>
          <w:lang w:bidi="he-IL"/>
        </w:rPr>
      </w:pPr>
    </w:p>
    <w:p w:rsidR="00153136" w:rsidRDefault="00153136" w:rsidP="00832261">
      <w:pPr>
        <w:pStyle w:val="titre1P"/>
        <w:spacing w:line="240" w:lineRule="auto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 xml:space="preserve">Le titulaire du présent lot devra présenter sur place des échantillons </w:t>
      </w:r>
      <w:r w:rsidR="00B607AC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 xml:space="preserve">de grande taille (1,00 x 2,00 m minimum)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 xml:space="preserve">de </w:t>
      </w:r>
      <w:r w:rsidR="00B607AC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montage de Briques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 xml:space="preserve"> et ne procédera aux opérations définitives qu'après avoir obtenu l'accord du Maître d'Œuvre. </w:t>
      </w:r>
    </w:p>
    <w:p w:rsidR="00153136" w:rsidRPr="00832261" w:rsidRDefault="00153136" w:rsidP="00832261">
      <w:pPr>
        <w:pStyle w:val="titre1P"/>
        <w:spacing w:line="240" w:lineRule="auto"/>
        <w:jc w:val="left"/>
        <w:rPr>
          <w:rFonts w:ascii="Arial" w:hAnsi="Arial" w:cs="Arial"/>
          <w:color w:val="000000"/>
          <w:sz w:val="12"/>
          <w:szCs w:val="12"/>
          <w:shd w:val="clear" w:color="auto" w:fill="FFFFFF"/>
          <w:lang w:bidi="he-IL"/>
        </w:rPr>
      </w:pPr>
    </w:p>
    <w:p w:rsidR="00153136" w:rsidRDefault="00153136" w:rsidP="008322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L’Entreprise soumettra à l’approbation du Maître d’Œuvre un calepinage en plan et élévation, ainsi que les dispositions particulières éventuelles nécessitant des interfaces avec d’autres lots.</w:t>
      </w:r>
    </w:p>
    <w:p w:rsidR="00153136" w:rsidRDefault="00153136" w:rsidP="00832261">
      <w:pPr>
        <w:rPr>
          <w:rFonts w:ascii="Arial" w:hAnsi="Arial" w:cs="Arial"/>
          <w:sz w:val="20"/>
        </w:rPr>
      </w:pPr>
    </w:p>
    <w:p w:rsidR="00153136" w:rsidRPr="00153136" w:rsidRDefault="00153136" w:rsidP="00153136">
      <w:pPr>
        <w:rPr>
          <w:rFonts w:ascii="Arial" w:hAnsi="Arial" w:cs="Arial"/>
        </w:rPr>
      </w:pPr>
    </w:p>
    <w:sectPr w:rsidR="00153136" w:rsidRPr="00153136" w:rsidSect="00FE3EE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B4" w:rsidRDefault="005039B4" w:rsidP="0095635E">
      <w:r>
        <w:separator/>
      </w:r>
    </w:p>
  </w:endnote>
  <w:endnote w:type="continuationSeparator" w:id="0">
    <w:p w:rsidR="005039B4" w:rsidRDefault="005039B4" w:rsidP="0095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C98878t00">
    <w:altName w:val="TT E 1 C 9887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5E" w:rsidRDefault="009563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5E" w:rsidRDefault="009563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5E" w:rsidRDefault="009563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B4" w:rsidRDefault="005039B4" w:rsidP="0095635E">
      <w:r>
        <w:separator/>
      </w:r>
    </w:p>
  </w:footnote>
  <w:footnote w:type="continuationSeparator" w:id="0">
    <w:p w:rsidR="005039B4" w:rsidRDefault="005039B4" w:rsidP="0095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5E" w:rsidRDefault="009563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5E" w:rsidRDefault="009563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5E" w:rsidRDefault="009563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2C9311"/>
    <w:multiLevelType w:val="hybridMultilevel"/>
    <w:tmpl w:val="DEF3D44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B6F19"/>
    <w:multiLevelType w:val="hybridMultilevel"/>
    <w:tmpl w:val="A79C7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36"/>
    <w:rsid w:val="00153136"/>
    <w:rsid w:val="002A492D"/>
    <w:rsid w:val="002D24E5"/>
    <w:rsid w:val="00376052"/>
    <w:rsid w:val="005039B4"/>
    <w:rsid w:val="005B2471"/>
    <w:rsid w:val="005B71F1"/>
    <w:rsid w:val="00832261"/>
    <w:rsid w:val="0095635E"/>
    <w:rsid w:val="00A90443"/>
    <w:rsid w:val="00B607AC"/>
    <w:rsid w:val="00CF2E7A"/>
    <w:rsid w:val="00D34704"/>
    <w:rsid w:val="00DF4A65"/>
    <w:rsid w:val="00FE3EE6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F0327-B0E7-4D4C-89A2-4C0C5C51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3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313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53136"/>
    <w:pPr>
      <w:ind w:left="708"/>
    </w:pPr>
  </w:style>
  <w:style w:type="paragraph" w:customStyle="1" w:styleId="Default">
    <w:name w:val="Default"/>
    <w:rsid w:val="00153136"/>
    <w:pPr>
      <w:widowControl w:val="0"/>
      <w:autoSpaceDE w:val="0"/>
      <w:autoSpaceDN w:val="0"/>
      <w:adjustRightInd w:val="0"/>
      <w:spacing w:after="0" w:line="240" w:lineRule="auto"/>
    </w:pPr>
    <w:rPr>
      <w:rFonts w:ascii="TTE1C98878t00" w:eastAsia="Times New Roman" w:hAnsi="TTE1C98878t00" w:cs="TTE1C98878t00"/>
      <w:color w:val="000000"/>
      <w:sz w:val="24"/>
      <w:szCs w:val="24"/>
      <w:lang w:eastAsia="fr-FR"/>
    </w:rPr>
  </w:style>
  <w:style w:type="paragraph" w:customStyle="1" w:styleId="titre1P">
    <w:name w:val="titre 1P"/>
    <w:basedOn w:val="Titre1"/>
    <w:rsid w:val="00153136"/>
    <w:pPr>
      <w:keepNext w:val="0"/>
      <w:keepLines w:val="0"/>
      <w:autoSpaceDE w:val="0"/>
      <w:autoSpaceDN w:val="0"/>
      <w:spacing w:before="0" w:line="300" w:lineRule="atLeast"/>
      <w:jc w:val="both"/>
      <w:outlineLvl w:val="9"/>
    </w:pPr>
    <w:rPr>
      <w:rFonts w:ascii="Bookman Old Style" w:eastAsia="Times New Roman" w:hAnsi="Bookman Old Style" w:cs="Times New Roman"/>
      <w:b w:val="0"/>
      <w:bCs w:val="0"/>
      <w:color w:val="auto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53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2D2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24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M20">
    <w:name w:val="CM20"/>
    <w:basedOn w:val="Normal"/>
    <w:uiPriority w:val="99"/>
    <w:rsid w:val="002D24E5"/>
    <w:pPr>
      <w:autoSpaceDE w:val="0"/>
      <w:autoSpaceDN w:val="0"/>
    </w:pPr>
    <w:rPr>
      <w:rFonts w:ascii="TTE1C98878t00" w:eastAsiaTheme="minorHAnsi" w:hAnsi="TTE1C98878t00"/>
    </w:rPr>
  </w:style>
  <w:style w:type="paragraph" w:styleId="Pieddepage">
    <w:name w:val="footer"/>
    <w:basedOn w:val="Normal"/>
    <w:link w:val="PieddepageCar"/>
    <w:uiPriority w:val="99"/>
    <w:unhideWhenUsed/>
    <w:rsid w:val="009563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635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657</Words>
  <Characters>3619</Characters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2016-05-19T09:42:00Z</dcterms:created>
  <dcterms:modified xsi:type="dcterms:W3CDTF">2020-09-11T10:25:00Z</dcterms:modified>
</cp:coreProperties>
</file>